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EA" w:rsidRPr="00BA47BD" w:rsidRDefault="00BA47BD" w:rsidP="00BA47BD">
      <w:pPr>
        <w:jc w:val="center"/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43B5" wp14:editId="5CDB352B">
                <wp:simplePos x="0" y="0"/>
                <wp:positionH relativeFrom="column">
                  <wp:posOffset>-28575</wp:posOffset>
                </wp:positionH>
                <wp:positionV relativeFrom="paragraph">
                  <wp:posOffset>882015</wp:posOffset>
                </wp:positionV>
                <wp:extent cx="4438650" cy="228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BD" w:rsidRPr="000F291D" w:rsidRDefault="00BA47BD" w:rsidP="00BA47BD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510"/>
                            </w:tblGrid>
                            <w:tr w:rsidR="000F291D" w:rsidRPr="000F29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52"/>
                              </w:trPr>
                              <w:tc>
                                <w:tcPr>
                                  <w:tcW w:w="6510" w:type="dxa"/>
                                </w:tcPr>
                                <w:p w:rsidR="00BA47BD" w:rsidRPr="00537546" w:rsidRDefault="00BA47BD" w:rsidP="00537546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7030A0"/>
                                      <w:sz w:val="76"/>
                                      <w:szCs w:val="76"/>
                                    </w:rPr>
                                  </w:pPr>
                                  <w:r w:rsidRPr="005375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76"/>
                                      <w:szCs w:val="76"/>
                                    </w:rPr>
                                    <w:t>MINDSHARING</w:t>
                                  </w:r>
                                </w:p>
                                <w:p w:rsidR="00BA47BD" w:rsidRPr="000F291D" w:rsidRDefault="00BA47BD" w:rsidP="00537546">
                                  <w:pPr>
                                    <w:pStyle w:val="Default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F291D">
                                    <w:rPr>
                                      <w:iCs/>
                                      <w:sz w:val="40"/>
                                      <w:szCs w:val="40"/>
                                    </w:rPr>
                                    <w:t xml:space="preserve">The Art of Crowdsourcing </w:t>
                                  </w:r>
                                  <w:r w:rsidRPr="000F291D">
                                    <w:rPr>
                                      <w:iCs/>
                                      <w:sz w:val="40"/>
                                      <w:szCs w:val="40"/>
                                    </w:rPr>
                                    <w:t>Everything</w:t>
                                  </w:r>
                                </w:p>
                                <w:p w:rsidR="00BA47BD" w:rsidRPr="000F291D" w:rsidRDefault="00BA47BD" w:rsidP="00537546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F291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  <w:r w:rsidRPr="000F291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y Lior Zoref</w:t>
                                  </w:r>
                                </w:p>
                              </w:tc>
                            </w:tr>
                          </w:tbl>
                          <w:p w:rsidR="00BA47BD" w:rsidRPr="000F291D" w:rsidRDefault="00BA47BD" w:rsidP="00537546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763"/>
                            </w:tblGrid>
                            <w:tr w:rsidR="000F291D" w:rsidRPr="000F29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9"/>
                              </w:trPr>
                              <w:tc>
                                <w:tcPr>
                                  <w:tcW w:w="5763" w:type="dxa"/>
                                </w:tcPr>
                                <w:p w:rsidR="00BA47BD" w:rsidRPr="000F291D" w:rsidRDefault="000F291D" w:rsidP="00537546">
                                  <w:pPr>
                                    <w:pStyle w:val="Default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A47BD"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Published by Portfolio</w:t>
                                  </w:r>
                                  <w:r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Books</w:t>
                                  </w:r>
                                  <w:r w:rsidR="00BA47BD"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, Penguin</w:t>
                                  </w:r>
                                </w:p>
                                <w:p w:rsidR="00BA47BD" w:rsidRPr="000F291D" w:rsidRDefault="00D53FCC" w:rsidP="00537546">
                                  <w:pPr>
                                    <w:pStyle w:val="Default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A47BD"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May 21</w:t>
                                  </w:r>
                                  <w:r w:rsidR="00BA47BD" w:rsidRPr="000F291D">
                                    <w:rPr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:rsidR="00BA47BD" w:rsidRPr="000F291D" w:rsidRDefault="000F291D" w:rsidP="00D53FCC">
                                  <w:pPr>
                                    <w:pStyle w:val="Defaul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A47BD" w:rsidRPr="000F291D"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  <w:t>Hardback £19.99 / Paperback £12.99</w:t>
                                  </w:r>
                                </w:p>
                              </w:tc>
                            </w:tr>
                          </w:tbl>
                          <w:p w:rsidR="00BA47BD" w:rsidRPr="000F291D" w:rsidRDefault="00BA4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9.45pt;width:349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jIgIAAB4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" stroked="f">
                <v:textbox>
                  <w:txbxContent>
                    <w:p w:rsidR="00BA47BD" w:rsidRPr="000F291D" w:rsidRDefault="00BA47BD" w:rsidP="00BA47BD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510"/>
                      </w:tblGrid>
                      <w:tr w:rsidR="000F291D" w:rsidRPr="000F29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52"/>
                        </w:trPr>
                        <w:tc>
                          <w:tcPr>
                            <w:tcW w:w="6510" w:type="dxa"/>
                          </w:tcPr>
                          <w:p w:rsidR="00BA47BD" w:rsidRPr="00537546" w:rsidRDefault="00BA47BD" w:rsidP="00537546">
                            <w:pPr>
                              <w:pStyle w:val="Default"/>
                              <w:rPr>
                                <w:rFonts w:ascii="Arial" w:hAnsi="Arial" w:cs="Arial"/>
                                <w:color w:val="7030A0"/>
                                <w:sz w:val="76"/>
                                <w:szCs w:val="76"/>
                              </w:rPr>
                            </w:pPr>
                            <w:r w:rsidRPr="0053754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76"/>
                                <w:szCs w:val="76"/>
                              </w:rPr>
                              <w:t>MINDSHARING</w:t>
                            </w:r>
                          </w:p>
                          <w:p w:rsidR="00BA47BD" w:rsidRPr="000F291D" w:rsidRDefault="00BA47BD" w:rsidP="00537546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0F291D">
                              <w:rPr>
                                <w:iCs/>
                                <w:sz w:val="40"/>
                                <w:szCs w:val="40"/>
                              </w:rPr>
                              <w:t xml:space="preserve">The Art of Crowdsourcing </w:t>
                            </w:r>
                            <w:r w:rsidRPr="000F291D">
                              <w:rPr>
                                <w:iCs/>
                                <w:sz w:val="40"/>
                                <w:szCs w:val="40"/>
                              </w:rPr>
                              <w:t>Everything</w:t>
                            </w:r>
                          </w:p>
                          <w:p w:rsidR="00BA47BD" w:rsidRPr="000F291D" w:rsidRDefault="00BA47BD" w:rsidP="00537546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 w:rsidRPr="000F29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</w:t>
                            </w:r>
                            <w:r w:rsidRPr="000F29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 Lior Zoref</w:t>
                            </w:r>
                          </w:p>
                        </w:tc>
                      </w:tr>
                    </w:tbl>
                    <w:p w:rsidR="00BA47BD" w:rsidRPr="000F291D" w:rsidRDefault="00BA47BD" w:rsidP="00537546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763"/>
                      </w:tblGrid>
                      <w:tr w:rsidR="000F291D" w:rsidRPr="000F29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9"/>
                        </w:trPr>
                        <w:tc>
                          <w:tcPr>
                            <w:tcW w:w="5763" w:type="dxa"/>
                          </w:tcPr>
                          <w:p w:rsidR="00BA47BD" w:rsidRPr="000F291D" w:rsidRDefault="000F291D" w:rsidP="00537546">
                            <w:pPr>
                              <w:pStyle w:val="Defaul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F291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7BD" w:rsidRPr="000F291D">
                              <w:rPr>
                                <w:bCs/>
                                <w:sz w:val="28"/>
                                <w:szCs w:val="28"/>
                              </w:rPr>
                              <w:t>Published by Portfolio</w:t>
                            </w:r>
                            <w:r w:rsidRPr="000F291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Books</w:t>
                            </w:r>
                            <w:r w:rsidR="00BA47BD" w:rsidRPr="000F291D">
                              <w:rPr>
                                <w:bCs/>
                                <w:sz w:val="28"/>
                                <w:szCs w:val="28"/>
                              </w:rPr>
                              <w:t>, Penguin</w:t>
                            </w:r>
                          </w:p>
                          <w:p w:rsidR="00BA47BD" w:rsidRPr="000F291D" w:rsidRDefault="00D53FCC" w:rsidP="00537546">
                            <w:pPr>
                              <w:pStyle w:val="Default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7BD" w:rsidRPr="000F291D">
                              <w:rPr>
                                <w:bCs/>
                                <w:sz w:val="28"/>
                                <w:szCs w:val="28"/>
                              </w:rPr>
                              <w:t>May 21</w:t>
                            </w:r>
                            <w:r w:rsidR="00BA47BD" w:rsidRPr="000F291D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</w:p>
                          <w:p w:rsidR="00BA47BD" w:rsidRPr="000F291D" w:rsidRDefault="000F291D" w:rsidP="00D53FCC">
                            <w:pPr>
                              <w:pStyle w:val="Default"/>
                              <w:rPr>
                                <w:sz w:val="36"/>
                                <w:szCs w:val="36"/>
                              </w:rPr>
                            </w:pPr>
                            <w:r w:rsidRPr="000F291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7BD" w:rsidRPr="000F291D">
                              <w:rPr>
                                <w:bCs/>
                                <w:sz w:val="28"/>
                                <w:szCs w:val="28"/>
                              </w:rPr>
                              <w:t>Hardback £19.99 / Paperback £12.99</w:t>
                            </w:r>
                          </w:p>
                        </w:tc>
                      </w:tr>
                    </w:tbl>
                    <w:p w:rsidR="00BA47BD" w:rsidRPr="000F291D" w:rsidRDefault="00BA47BD"/>
                  </w:txbxContent>
                </v:textbox>
              </v:shape>
            </w:pict>
          </mc:Fallback>
        </mc:AlternateContent>
      </w:r>
      <w:r w:rsidR="008E42EA">
        <w:rPr>
          <w:rFonts w:ascii="Calibri" w:hAnsi="Calibri"/>
          <w:noProof/>
          <w:lang w:val="en-GB" w:eastAsia="en-GB"/>
        </w:rPr>
        <w:drawing>
          <wp:inline distT="0" distB="0" distL="0" distR="0" wp14:anchorId="23BBA0C3" wp14:editId="7013269D">
            <wp:extent cx="789128" cy="1047750"/>
            <wp:effectExtent l="0" t="0" r="0" b="0"/>
            <wp:docPr id="1" name="Picture 1" descr="Description: portfoliologo_hi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ortfoliologo_hi_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58" cy="105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BD" w:rsidRPr="000F291D" w:rsidRDefault="00BA47BD" w:rsidP="000F291D">
      <w:pPr>
        <w:pStyle w:val="NoSpacing"/>
        <w:jc w:val="right"/>
        <w:rPr>
          <w:sz w:val="76"/>
          <w:szCs w:val="76"/>
        </w:rPr>
      </w:pPr>
      <w:r>
        <w:rPr>
          <w:noProof/>
          <w:lang w:val="en-GB" w:eastAsia="en-GB"/>
        </w:rPr>
        <w:drawing>
          <wp:inline distT="0" distB="0" distL="0" distR="0" wp14:anchorId="0E57CC68" wp14:editId="5949676E">
            <wp:extent cx="1474779" cy="22189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sharing jack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31" cy="222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9F" w:rsidRPr="003A639F" w:rsidRDefault="008E6376" w:rsidP="003A639F">
      <w:pPr>
        <w:pStyle w:val="NoSpacing"/>
        <w:rPr>
          <w:i/>
          <w:color w:val="7030A0"/>
        </w:rPr>
      </w:pPr>
      <w:r w:rsidRPr="003A639F">
        <w:rPr>
          <w:i/>
          <w:color w:val="7030A0"/>
        </w:rPr>
        <w:t xml:space="preserve">‘Today, social networks are mostly about sharing moments.  </w:t>
      </w:r>
    </w:p>
    <w:p w:rsidR="00C70919" w:rsidRDefault="008E6376" w:rsidP="003A639F">
      <w:pPr>
        <w:pStyle w:val="NoSpacing"/>
        <w:rPr>
          <w:color w:val="7030A0"/>
        </w:rPr>
      </w:pPr>
      <w:r w:rsidRPr="003A639F">
        <w:rPr>
          <w:i/>
          <w:color w:val="7030A0"/>
        </w:rPr>
        <w:t>In the next decade, they’ll also h</w:t>
      </w:r>
      <w:r w:rsidR="003A639F" w:rsidRPr="003A639F">
        <w:rPr>
          <w:i/>
          <w:color w:val="7030A0"/>
        </w:rPr>
        <w:t>e</w:t>
      </w:r>
      <w:r w:rsidRPr="003A639F">
        <w:rPr>
          <w:i/>
          <w:color w:val="7030A0"/>
        </w:rPr>
        <w:t>lp you answer questions and solve complex problems.’</w:t>
      </w:r>
      <w:r w:rsidRPr="003A639F">
        <w:rPr>
          <w:color w:val="7030A0"/>
        </w:rPr>
        <w:t xml:space="preserve"> </w:t>
      </w:r>
      <w:r w:rsidR="003A639F" w:rsidRPr="003A639F">
        <w:rPr>
          <w:color w:val="7030A0"/>
        </w:rPr>
        <w:t xml:space="preserve"> </w:t>
      </w:r>
    </w:p>
    <w:p w:rsidR="00BA47BD" w:rsidRPr="003A639F" w:rsidRDefault="008E6376" w:rsidP="003A639F">
      <w:pPr>
        <w:pStyle w:val="NoSpacing"/>
        <w:rPr>
          <w:color w:val="7030A0"/>
        </w:rPr>
      </w:pPr>
      <w:r w:rsidRPr="003A639F">
        <w:rPr>
          <w:color w:val="7030A0"/>
        </w:rPr>
        <w:t>Mark Zuckerberg, 2014</w:t>
      </w:r>
    </w:p>
    <w:p w:rsidR="008E6376" w:rsidRPr="00C70919" w:rsidRDefault="008E6376" w:rsidP="008E42EA">
      <w:pPr>
        <w:pStyle w:val="NoSpacing"/>
        <w:rPr>
          <w:sz w:val="16"/>
          <w:szCs w:val="16"/>
        </w:rPr>
      </w:pPr>
    </w:p>
    <w:p w:rsidR="009078AC" w:rsidRPr="009078AC" w:rsidRDefault="009078AC" w:rsidP="009078AC">
      <w:p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>We all struggle to make the best decisions possible.</w:t>
      </w:r>
      <w:r w:rsidR="00E96F1D">
        <w:rPr>
          <w:rFonts w:ascii="Calibri" w:hAnsi="Calibri"/>
          <w:sz w:val="22"/>
          <w:szCs w:val="22"/>
        </w:rPr>
        <w:t xml:space="preserve"> </w:t>
      </w:r>
      <w:r w:rsidRPr="009078AC">
        <w:rPr>
          <w:rFonts w:ascii="Calibri" w:hAnsi="Calibri"/>
          <w:sz w:val="22"/>
          <w:szCs w:val="22"/>
        </w:rPr>
        <w:t xml:space="preserve"> But what if we could make every important decision with the help of the smartest people in the world? </w:t>
      </w:r>
      <w:r w:rsidR="00E96F1D">
        <w:rPr>
          <w:rFonts w:ascii="Calibri" w:hAnsi="Calibri"/>
          <w:sz w:val="22"/>
          <w:szCs w:val="22"/>
        </w:rPr>
        <w:t xml:space="preserve"> </w:t>
      </w:r>
      <w:r w:rsidRPr="009078AC">
        <w:rPr>
          <w:rFonts w:ascii="Calibri" w:hAnsi="Calibri"/>
          <w:sz w:val="22"/>
          <w:szCs w:val="22"/>
        </w:rPr>
        <w:t xml:space="preserve">Sound impossible? </w:t>
      </w:r>
      <w:r w:rsidR="00E96F1D">
        <w:rPr>
          <w:rFonts w:ascii="Calibri" w:hAnsi="Calibri"/>
          <w:sz w:val="22"/>
          <w:szCs w:val="22"/>
        </w:rPr>
        <w:t xml:space="preserve"> </w:t>
      </w:r>
      <w:r w:rsidRPr="009078AC">
        <w:rPr>
          <w:rFonts w:ascii="Calibri" w:hAnsi="Calibri"/>
          <w:sz w:val="22"/>
          <w:szCs w:val="22"/>
        </w:rPr>
        <w:t xml:space="preserve">Surprisingly, we can all access the collective wisdom of hundreds or even thousands of people who together are as smart as any expert. </w:t>
      </w:r>
    </w:p>
    <w:p w:rsidR="009078AC" w:rsidRPr="00C70919" w:rsidRDefault="009078AC" w:rsidP="009078AC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9078AC" w:rsidRDefault="009078AC" w:rsidP="009078AC">
      <w:p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 xml:space="preserve">With </w:t>
      </w:r>
      <w:r w:rsidR="00E96F1D">
        <w:rPr>
          <w:rFonts w:ascii="Calibri" w:hAnsi="Calibri"/>
          <w:sz w:val="22"/>
          <w:szCs w:val="22"/>
        </w:rPr>
        <w:t>millions of</w:t>
      </w:r>
      <w:r w:rsidRPr="009078AC">
        <w:rPr>
          <w:rFonts w:ascii="Calibri" w:hAnsi="Calibri"/>
          <w:sz w:val="22"/>
          <w:szCs w:val="22"/>
        </w:rPr>
        <w:t xml:space="preserve"> adult</w:t>
      </w:r>
      <w:r w:rsidR="00E96F1D">
        <w:rPr>
          <w:rFonts w:ascii="Calibri" w:hAnsi="Calibri"/>
          <w:sz w:val="22"/>
          <w:szCs w:val="22"/>
        </w:rPr>
        <w:t>s</w:t>
      </w:r>
      <w:r w:rsidRPr="009078AC">
        <w:rPr>
          <w:rFonts w:ascii="Calibri" w:hAnsi="Calibri"/>
          <w:sz w:val="22"/>
          <w:szCs w:val="22"/>
        </w:rPr>
        <w:t xml:space="preserve"> using Facebook, Twitter, and LinkedIn, more and more of us are turning to crowdsourcing to find information about finance, relationships, careers, and much more. </w:t>
      </w:r>
      <w:r w:rsidR="00E96F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</w:t>
      </w:r>
      <w:r w:rsidRPr="009078AC">
        <w:rPr>
          <w:rFonts w:ascii="Calibri" w:hAnsi="Calibri"/>
          <w:b/>
          <w:i/>
          <w:sz w:val="22"/>
          <w:szCs w:val="22"/>
        </w:rPr>
        <w:t xml:space="preserve"> MINDSHARING: The Art of Crowdsourcing Everything</w:t>
      </w:r>
      <w:r w:rsidRPr="009078AC">
        <w:rPr>
          <w:rFonts w:ascii="Calibri" w:hAnsi="Calibri"/>
          <w:b/>
          <w:sz w:val="22"/>
          <w:szCs w:val="22"/>
        </w:rPr>
        <w:t xml:space="preserve"> </w:t>
      </w:r>
      <w:r w:rsidR="00E96F1D" w:rsidRPr="00E96F1D">
        <w:rPr>
          <w:rFonts w:ascii="Calibri" w:hAnsi="Calibri"/>
          <w:sz w:val="22"/>
          <w:szCs w:val="22"/>
        </w:rPr>
        <w:t>former Microsoft vice president of marketing</w:t>
      </w:r>
      <w:r w:rsidR="00E96F1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 xml:space="preserve">Lior Zoref shows </w:t>
      </w:r>
      <w:r w:rsidRPr="009078AC">
        <w:rPr>
          <w:rFonts w:ascii="Calibri" w:hAnsi="Calibri"/>
          <w:iCs/>
          <w:sz w:val="22"/>
          <w:szCs w:val="22"/>
        </w:rPr>
        <w:t xml:space="preserve">a form of crowdsourcing that doesn’t ask people to think </w:t>
      </w:r>
      <w:r w:rsidRPr="009078AC">
        <w:rPr>
          <w:rFonts w:ascii="Calibri" w:hAnsi="Calibri"/>
          <w:i/>
          <w:iCs/>
          <w:sz w:val="22"/>
          <w:szCs w:val="22"/>
        </w:rPr>
        <w:t>for</w:t>
      </w:r>
      <w:r w:rsidRPr="009078AC">
        <w:rPr>
          <w:rFonts w:ascii="Calibri" w:hAnsi="Calibri"/>
          <w:iCs/>
          <w:sz w:val="22"/>
          <w:szCs w:val="22"/>
        </w:rPr>
        <w:t xml:space="preserve"> us but instead to think </w:t>
      </w:r>
      <w:r w:rsidRPr="009078AC">
        <w:rPr>
          <w:rFonts w:ascii="Calibri" w:hAnsi="Calibri"/>
          <w:i/>
          <w:iCs/>
          <w:sz w:val="22"/>
          <w:szCs w:val="22"/>
        </w:rPr>
        <w:t>with</w:t>
      </w:r>
      <w:r w:rsidRPr="009078AC">
        <w:rPr>
          <w:rFonts w:ascii="Calibri" w:hAnsi="Calibri"/>
          <w:iCs/>
          <w:sz w:val="22"/>
          <w:szCs w:val="22"/>
        </w:rPr>
        <w:t xml:space="preserve"> us. Going beyond our small circle of connections for advice and support, Mindsharing allows us to </w:t>
      </w:r>
      <w:r w:rsidRPr="009078AC">
        <w:rPr>
          <w:rFonts w:ascii="Calibri" w:hAnsi="Calibri"/>
          <w:sz w:val="22"/>
          <w:szCs w:val="22"/>
        </w:rPr>
        <w:t>harness the much greater power of our “weak” connections.</w:t>
      </w:r>
    </w:p>
    <w:p w:rsidR="009078AC" w:rsidRPr="00C70919" w:rsidRDefault="009078AC" w:rsidP="009078AC">
      <w:pPr>
        <w:rPr>
          <w:rFonts w:ascii="Calibri" w:hAnsi="Calibri"/>
          <w:sz w:val="16"/>
          <w:szCs w:val="16"/>
        </w:rPr>
      </w:pPr>
    </w:p>
    <w:p w:rsidR="009078AC" w:rsidRPr="009078AC" w:rsidRDefault="009078AC" w:rsidP="009078AC">
      <w:p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 xml:space="preserve">Drawing on his experience at Microsoft, as well as insights from his own research and mindsharing experiments, Zoref details step-by-step guidelines for tapping into the full potential of online networks. He also provides fascinating </w:t>
      </w:r>
      <w:r>
        <w:rPr>
          <w:rFonts w:ascii="Calibri" w:hAnsi="Calibri"/>
          <w:sz w:val="22"/>
          <w:szCs w:val="22"/>
        </w:rPr>
        <w:t xml:space="preserve">examples </w:t>
      </w:r>
      <w:r w:rsidRPr="009078AC">
        <w:rPr>
          <w:rFonts w:ascii="Calibri" w:hAnsi="Calibri"/>
          <w:sz w:val="22"/>
          <w:szCs w:val="22"/>
        </w:rPr>
        <w:t>such as:</w:t>
      </w:r>
    </w:p>
    <w:p w:rsidR="009078AC" w:rsidRPr="009078AC" w:rsidRDefault="009078AC" w:rsidP="009078A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>How an obese man with the goal of losing one hundred pounds in a year conquered his fitness goals with an army of unwavering supporters.</w:t>
      </w:r>
    </w:p>
    <w:p w:rsidR="009078AC" w:rsidRPr="009078AC" w:rsidRDefault="009078AC" w:rsidP="009078A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 xml:space="preserve">How Zoref, at his own TED Talk, was able to spontaneously poll the audience and get a near-exact estimate of the weight of an ox he brought onstage. </w:t>
      </w:r>
    </w:p>
    <w:p w:rsidR="009078AC" w:rsidRPr="009078AC" w:rsidRDefault="009078AC" w:rsidP="009078A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>How a distraught mother with a desperately ill four-year-old used Facebook to crowdsource the diagnosis that saved her son’s life, after doctors couldn’t help him.</w:t>
      </w:r>
    </w:p>
    <w:p w:rsidR="009078AC" w:rsidRPr="00C70919" w:rsidRDefault="009078AC" w:rsidP="009078AC">
      <w:pPr>
        <w:rPr>
          <w:rFonts w:ascii="Calibri" w:hAnsi="Calibri"/>
          <w:sz w:val="16"/>
          <w:szCs w:val="16"/>
        </w:rPr>
      </w:pPr>
    </w:p>
    <w:p w:rsidR="008E42EA" w:rsidRPr="00E96F1D" w:rsidRDefault="009078AC" w:rsidP="008E42EA">
      <w:pPr>
        <w:rPr>
          <w:rFonts w:ascii="Calibri" w:hAnsi="Calibri"/>
          <w:sz w:val="22"/>
          <w:szCs w:val="22"/>
        </w:rPr>
      </w:pPr>
      <w:r w:rsidRPr="009078AC">
        <w:rPr>
          <w:rFonts w:ascii="Calibri" w:hAnsi="Calibri"/>
          <w:sz w:val="22"/>
          <w:szCs w:val="22"/>
        </w:rPr>
        <w:t>Mindsharing is being applied to decisions as minor as how to design a business card and as major as buying a house. Whether you need to make better financial choices, find the love of your life, or transform your career, Zoref will show you how to harness the collective intelligence of a broad and diverse crowd.</w:t>
      </w:r>
    </w:p>
    <w:p w:rsidR="008E42EA" w:rsidRPr="001875E3" w:rsidRDefault="008E42EA" w:rsidP="008E42EA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8E42EA" w:rsidRPr="00C70919" w:rsidRDefault="008E42EA" w:rsidP="008E42EA">
      <w:pPr>
        <w:rPr>
          <w:rFonts w:ascii="Calibri" w:hAnsi="Calibri"/>
          <w:noProof/>
          <w:sz w:val="16"/>
          <w:szCs w:val="16"/>
        </w:rPr>
      </w:pPr>
    </w:p>
    <w:p w:rsidR="00C70919" w:rsidRDefault="009078AC" w:rsidP="009078AC">
      <w:pPr>
        <w:rPr>
          <w:rFonts w:asciiTheme="minorHAnsi" w:hAnsiTheme="minorHAnsi"/>
          <w:sz w:val="22"/>
          <w:szCs w:val="22"/>
        </w:rPr>
      </w:pPr>
      <w:r w:rsidRPr="009078AC">
        <w:rPr>
          <w:rFonts w:asciiTheme="minorHAnsi" w:hAnsiTheme="minorHAnsi"/>
          <w:b/>
          <w:bCs/>
          <w:sz w:val="22"/>
          <w:szCs w:val="22"/>
        </w:rPr>
        <w:t>Lior Zoref</w:t>
      </w:r>
      <w:r w:rsidRPr="009078AC">
        <w:rPr>
          <w:rFonts w:asciiTheme="minorHAnsi" w:hAnsiTheme="minorHAnsi"/>
          <w:b/>
          <w:sz w:val="22"/>
          <w:szCs w:val="22"/>
        </w:rPr>
        <w:t xml:space="preserve"> </w:t>
      </w:r>
      <w:r w:rsidRPr="009078AC">
        <w:rPr>
          <w:rFonts w:asciiTheme="minorHAnsi" w:hAnsiTheme="minorHAnsi"/>
          <w:sz w:val="22"/>
          <w:szCs w:val="22"/>
        </w:rPr>
        <w:t>is a crowd wisdom researcher, an international speaker, and a consultant. He worked for fourteen years at Microsoft, most recently as vice president of marketing for consumer and online services.</w:t>
      </w:r>
    </w:p>
    <w:p w:rsidR="001875E3" w:rsidRPr="001875E3" w:rsidRDefault="001875E3" w:rsidP="009078AC">
      <w:pPr>
        <w:rPr>
          <w:rFonts w:asciiTheme="minorHAnsi" w:hAnsiTheme="minorHAnsi"/>
          <w:sz w:val="16"/>
          <w:szCs w:val="16"/>
        </w:rPr>
      </w:pPr>
    </w:p>
    <w:p w:rsidR="00C70919" w:rsidRPr="00C70919" w:rsidRDefault="00C70919" w:rsidP="00C70919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C70919">
        <w:rPr>
          <w:rFonts w:ascii="Cambria" w:hAnsi="Cambria"/>
          <w:b/>
          <w:color w:val="002060"/>
          <w:sz w:val="22"/>
          <w:szCs w:val="22"/>
        </w:rPr>
        <w:t>All publicity enquiries and review copy requests to Becke Parker</w:t>
      </w:r>
    </w:p>
    <w:p w:rsidR="00642692" w:rsidRPr="00C70919" w:rsidRDefault="00C70919" w:rsidP="00C70919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9F43C9">
        <w:rPr>
          <w:rFonts w:ascii="Cambria" w:hAnsi="Cambria"/>
          <w:b/>
          <w:color w:val="002060"/>
          <w:sz w:val="22"/>
          <w:szCs w:val="22"/>
        </w:rPr>
        <w:t xml:space="preserve">email </w:t>
      </w:r>
      <w:hyperlink r:id="rId11" w:history="1">
        <w:r w:rsidR="005E5D10" w:rsidRPr="00F008C9">
          <w:rPr>
            <w:rStyle w:val="Hyperlink"/>
            <w:rFonts w:ascii="Cambria" w:hAnsi="Cambria"/>
            <w:b/>
            <w:sz w:val="22"/>
            <w:szCs w:val="22"/>
          </w:rPr>
          <w:t>becke@prcollective.co.uk</w:t>
        </w:r>
      </w:hyperlink>
      <w:r w:rsidRPr="009F43C9">
        <w:rPr>
          <w:rFonts w:ascii="Cambria" w:hAnsi="Cambria"/>
          <w:b/>
          <w:color w:val="002060"/>
          <w:sz w:val="22"/>
          <w:szCs w:val="22"/>
        </w:rPr>
        <w:t xml:space="preserve"> / tel 07810 480924</w:t>
      </w:r>
      <w:r>
        <w:rPr>
          <w:rFonts w:ascii="Cambria" w:hAnsi="Cambria"/>
          <w:b/>
          <w:color w:val="002060"/>
          <w:sz w:val="22"/>
          <w:szCs w:val="22"/>
        </w:rPr>
        <w:t xml:space="preserve"> </w:t>
      </w:r>
    </w:p>
    <w:sectPr w:rsidR="00642692" w:rsidRPr="00C70919" w:rsidSect="00233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F6" w:rsidRDefault="00EA3CF6" w:rsidP="00841C13">
      <w:r>
        <w:separator/>
      </w:r>
    </w:p>
  </w:endnote>
  <w:endnote w:type="continuationSeparator" w:id="0">
    <w:p w:rsidR="00EA3CF6" w:rsidRDefault="00EA3CF6" w:rsidP="0084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F6" w:rsidRDefault="00EA3CF6" w:rsidP="00841C13">
      <w:r>
        <w:separator/>
      </w:r>
    </w:p>
  </w:footnote>
  <w:footnote w:type="continuationSeparator" w:id="0">
    <w:p w:rsidR="00EA3CF6" w:rsidRDefault="00EA3CF6" w:rsidP="0084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F57"/>
    <w:multiLevelType w:val="hybridMultilevel"/>
    <w:tmpl w:val="10EC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793"/>
    <w:multiLevelType w:val="hybridMultilevel"/>
    <w:tmpl w:val="EFAAF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A"/>
    <w:rsid w:val="000F291D"/>
    <w:rsid w:val="001875E3"/>
    <w:rsid w:val="00230079"/>
    <w:rsid w:val="00233758"/>
    <w:rsid w:val="002F249B"/>
    <w:rsid w:val="00374617"/>
    <w:rsid w:val="003A639F"/>
    <w:rsid w:val="00537546"/>
    <w:rsid w:val="005E5D10"/>
    <w:rsid w:val="00642692"/>
    <w:rsid w:val="00841C13"/>
    <w:rsid w:val="008E42EA"/>
    <w:rsid w:val="008E6376"/>
    <w:rsid w:val="009078AC"/>
    <w:rsid w:val="00BA47BD"/>
    <w:rsid w:val="00C70919"/>
    <w:rsid w:val="00D53FCC"/>
    <w:rsid w:val="00E96F1D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2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customStyle="1" w:styleId="Default">
    <w:name w:val="Default"/>
    <w:rsid w:val="00BA4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2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2EA"/>
    <w:pPr>
      <w:ind w:left="720"/>
      <w:contextualSpacing/>
    </w:pPr>
  </w:style>
  <w:style w:type="paragraph" w:customStyle="1" w:styleId="Default">
    <w:name w:val="Default"/>
    <w:rsid w:val="00BA4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1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cke@prcollective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06E6-5798-438B-8FC7-A4A3AE17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House, Inc.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Pcsupport</dc:creator>
  <cp:lastModifiedBy>Parker</cp:lastModifiedBy>
  <cp:revision>13</cp:revision>
  <cp:lastPrinted>2015-03-23T15:43:00Z</cp:lastPrinted>
  <dcterms:created xsi:type="dcterms:W3CDTF">2015-04-23T20:57:00Z</dcterms:created>
  <dcterms:modified xsi:type="dcterms:W3CDTF">2015-04-23T21:30:00Z</dcterms:modified>
</cp:coreProperties>
</file>